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816" w:rsidRPr="00F35382" w:rsidRDefault="002E5816" w:rsidP="00C50079">
      <w:pPr>
        <w:pStyle w:val="Textebrut"/>
        <w:jc w:val="both"/>
        <w:rPr>
          <w:rFonts w:ascii="Calibri" w:hAnsi="Calibri"/>
          <w:b/>
          <w:sz w:val="22"/>
          <w:szCs w:val="22"/>
        </w:rPr>
      </w:pPr>
      <w:bookmarkStart w:id="0" w:name="_GoBack"/>
      <w:bookmarkEnd w:id="0"/>
      <w:r w:rsidRPr="00F35382">
        <w:rPr>
          <w:rFonts w:ascii="Calibri" w:hAnsi="Calibri"/>
          <w:b/>
          <w:sz w:val="22"/>
          <w:szCs w:val="22"/>
        </w:rPr>
        <w:t>1.  The status of implementation (major achievements and problems in 2011)</w:t>
      </w:r>
    </w:p>
    <w:p w:rsidR="002E5816" w:rsidRDefault="002E5816" w:rsidP="00C50079">
      <w:pPr>
        <w:pStyle w:val="Textebrut"/>
        <w:jc w:val="both"/>
        <w:rPr>
          <w:rFonts w:ascii="Calibri" w:hAnsi="Calibri"/>
          <w:b/>
          <w:sz w:val="22"/>
          <w:szCs w:val="22"/>
        </w:rPr>
      </w:pPr>
      <w:r w:rsidRPr="00F35382">
        <w:rPr>
          <w:rFonts w:ascii="Calibri" w:hAnsi="Calibri"/>
          <w:b/>
          <w:sz w:val="22"/>
          <w:szCs w:val="22"/>
        </w:rPr>
        <w:t xml:space="preserve">  - floats deployed and their performance</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68"/>
        <w:gridCol w:w="1984"/>
        <w:gridCol w:w="1985"/>
        <w:gridCol w:w="1985"/>
      </w:tblGrid>
      <w:tr w:rsidR="0044427D" w:rsidTr="0044427D">
        <w:tc>
          <w:tcPr>
            <w:tcW w:w="1668" w:type="dxa"/>
          </w:tcPr>
          <w:p w:rsidR="0044427D" w:rsidRPr="0044427D" w:rsidRDefault="0044427D" w:rsidP="000B21C8">
            <w:pPr>
              <w:pStyle w:val="Textebrut"/>
              <w:rPr>
                <w:rFonts w:asciiTheme="minorHAnsi" w:hAnsiTheme="minorHAnsi"/>
                <w:b/>
                <w:sz w:val="22"/>
                <w:szCs w:val="22"/>
              </w:rPr>
            </w:pPr>
            <w:r w:rsidRPr="0044427D">
              <w:rPr>
                <w:rFonts w:asciiTheme="minorHAnsi" w:hAnsiTheme="minorHAnsi"/>
                <w:b/>
                <w:sz w:val="22"/>
                <w:szCs w:val="22"/>
              </w:rPr>
              <w:t>WMO Code</w:t>
            </w:r>
          </w:p>
        </w:tc>
        <w:tc>
          <w:tcPr>
            <w:tcW w:w="1984" w:type="dxa"/>
          </w:tcPr>
          <w:p w:rsidR="0044427D" w:rsidRPr="0044427D" w:rsidRDefault="0044427D" w:rsidP="000B21C8">
            <w:pPr>
              <w:pStyle w:val="Textebrut"/>
              <w:rPr>
                <w:rFonts w:asciiTheme="minorHAnsi" w:hAnsiTheme="minorHAnsi"/>
                <w:b/>
                <w:sz w:val="22"/>
                <w:szCs w:val="22"/>
              </w:rPr>
            </w:pPr>
            <w:r w:rsidRPr="0044427D">
              <w:rPr>
                <w:rFonts w:asciiTheme="minorHAnsi" w:hAnsiTheme="minorHAnsi"/>
                <w:b/>
                <w:sz w:val="22"/>
                <w:szCs w:val="22"/>
              </w:rPr>
              <w:t xml:space="preserve">Type </w:t>
            </w:r>
          </w:p>
        </w:tc>
        <w:tc>
          <w:tcPr>
            <w:tcW w:w="1985" w:type="dxa"/>
          </w:tcPr>
          <w:p w:rsidR="0044427D" w:rsidRPr="0044427D" w:rsidRDefault="0044427D" w:rsidP="000B21C8">
            <w:pPr>
              <w:pStyle w:val="Textebrut"/>
              <w:rPr>
                <w:rFonts w:asciiTheme="minorHAnsi" w:hAnsiTheme="minorHAnsi"/>
                <w:b/>
                <w:sz w:val="22"/>
                <w:szCs w:val="22"/>
              </w:rPr>
            </w:pPr>
            <w:r w:rsidRPr="0044427D">
              <w:rPr>
                <w:rFonts w:asciiTheme="minorHAnsi" w:hAnsiTheme="minorHAnsi"/>
                <w:b/>
                <w:sz w:val="22"/>
                <w:szCs w:val="22"/>
              </w:rPr>
              <w:t xml:space="preserve">Deployment Date </w:t>
            </w:r>
          </w:p>
        </w:tc>
        <w:tc>
          <w:tcPr>
            <w:tcW w:w="1985" w:type="dxa"/>
          </w:tcPr>
          <w:p w:rsidR="0044427D" w:rsidRPr="0044427D" w:rsidRDefault="0044427D" w:rsidP="000B21C8">
            <w:pPr>
              <w:pStyle w:val="Textebrut"/>
              <w:rPr>
                <w:rFonts w:asciiTheme="minorHAnsi" w:hAnsiTheme="minorHAnsi"/>
                <w:b/>
                <w:sz w:val="22"/>
                <w:szCs w:val="22"/>
              </w:rPr>
            </w:pPr>
            <w:r w:rsidRPr="0044427D">
              <w:rPr>
                <w:rFonts w:asciiTheme="minorHAnsi" w:hAnsiTheme="minorHAnsi"/>
                <w:b/>
                <w:sz w:val="22"/>
                <w:szCs w:val="22"/>
              </w:rPr>
              <w:t>Performance</w:t>
            </w:r>
          </w:p>
        </w:tc>
      </w:tr>
      <w:tr w:rsidR="0044427D" w:rsidTr="0044427D">
        <w:tc>
          <w:tcPr>
            <w:tcW w:w="1668"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6900658</w:t>
            </w:r>
          </w:p>
        </w:tc>
        <w:tc>
          <w:tcPr>
            <w:tcW w:w="1984"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Provor</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March 2011</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 xml:space="preserve">Good </w:t>
            </w:r>
          </w:p>
        </w:tc>
      </w:tr>
      <w:tr w:rsidR="0044427D" w:rsidTr="0044427D">
        <w:tc>
          <w:tcPr>
            <w:tcW w:w="1668"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6900444</w:t>
            </w:r>
          </w:p>
        </w:tc>
        <w:tc>
          <w:tcPr>
            <w:tcW w:w="1984"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Provor</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March 2011</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 xml:space="preserve">Good </w:t>
            </w:r>
          </w:p>
        </w:tc>
      </w:tr>
      <w:tr w:rsidR="0044427D" w:rsidTr="0044427D">
        <w:tc>
          <w:tcPr>
            <w:tcW w:w="1668"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6900445</w:t>
            </w:r>
          </w:p>
        </w:tc>
        <w:tc>
          <w:tcPr>
            <w:tcW w:w="1984"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Teledyne/Webb</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March 2011</w:t>
            </w:r>
          </w:p>
        </w:tc>
        <w:tc>
          <w:tcPr>
            <w:tcW w:w="1985" w:type="dxa"/>
          </w:tcPr>
          <w:p w:rsidR="0044427D" w:rsidRPr="0044427D" w:rsidRDefault="0044427D" w:rsidP="000B21C8">
            <w:pPr>
              <w:pStyle w:val="Textebrut"/>
              <w:rPr>
                <w:rFonts w:asciiTheme="minorHAnsi" w:hAnsiTheme="minorHAnsi"/>
                <w:sz w:val="22"/>
                <w:szCs w:val="22"/>
              </w:rPr>
            </w:pPr>
            <w:r w:rsidRPr="0044427D">
              <w:rPr>
                <w:rFonts w:asciiTheme="minorHAnsi" w:hAnsiTheme="minorHAnsi"/>
                <w:sz w:val="22"/>
                <w:szCs w:val="22"/>
              </w:rPr>
              <w:t xml:space="preserve">Good </w:t>
            </w:r>
          </w:p>
        </w:tc>
      </w:tr>
    </w:tbl>
    <w:p w:rsidR="0044427D" w:rsidRPr="00F35382" w:rsidRDefault="0044427D" w:rsidP="00C50079">
      <w:pPr>
        <w:pStyle w:val="Textebrut"/>
        <w:jc w:val="both"/>
        <w:rPr>
          <w:rFonts w:ascii="Calibri" w:hAnsi="Calibri"/>
          <w:b/>
          <w:sz w:val="22"/>
          <w:szCs w:val="22"/>
        </w:rPr>
      </w:pPr>
    </w:p>
    <w:p w:rsidR="002E5816" w:rsidRDefault="002E5816" w:rsidP="00C50079">
      <w:pPr>
        <w:pStyle w:val="Textebrut"/>
        <w:jc w:val="both"/>
        <w:rPr>
          <w:rFonts w:ascii="Calibri" w:hAnsi="Calibri"/>
          <w:b/>
          <w:sz w:val="22"/>
          <w:szCs w:val="22"/>
        </w:rPr>
      </w:pPr>
      <w:r w:rsidRPr="00F35382">
        <w:rPr>
          <w:rFonts w:ascii="Calibri" w:hAnsi="Calibri"/>
          <w:b/>
          <w:sz w:val="22"/>
          <w:szCs w:val="22"/>
        </w:rPr>
        <w:t xml:space="preserve">  - technical problems encountered and solved</w:t>
      </w:r>
    </w:p>
    <w:p w:rsidR="0044427D" w:rsidRPr="00B76AB0" w:rsidRDefault="0044427D" w:rsidP="0044427D">
      <w:pPr>
        <w:pStyle w:val="Textebrut"/>
        <w:rPr>
          <w:rFonts w:asciiTheme="minorHAnsi" w:hAnsiTheme="minorHAnsi"/>
          <w:sz w:val="22"/>
          <w:szCs w:val="22"/>
        </w:rPr>
      </w:pPr>
      <w:r>
        <w:rPr>
          <w:rFonts w:asciiTheme="minorHAnsi" w:hAnsiTheme="minorHAnsi"/>
          <w:sz w:val="22"/>
          <w:szCs w:val="22"/>
        </w:rPr>
        <w:t xml:space="preserve">BODC had not integrated Provor floats into their system but did it successfully. </w:t>
      </w:r>
    </w:p>
    <w:p w:rsidR="0044427D" w:rsidRPr="00F35382" w:rsidRDefault="0044427D" w:rsidP="00C50079">
      <w:pPr>
        <w:pStyle w:val="Textebrut"/>
        <w:jc w:val="both"/>
        <w:rPr>
          <w:rFonts w:ascii="Calibri" w:hAnsi="Calibri"/>
          <w:b/>
          <w:sz w:val="22"/>
          <w:szCs w:val="22"/>
        </w:rPr>
      </w:pPr>
    </w:p>
    <w:p w:rsidR="002E5816" w:rsidRDefault="002E5816" w:rsidP="00C50079">
      <w:pPr>
        <w:pStyle w:val="Textebrut"/>
        <w:jc w:val="both"/>
        <w:rPr>
          <w:rFonts w:ascii="Calibri" w:hAnsi="Calibri"/>
          <w:b/>
          <w:sz w:val="22"/>
          <w:szCs w:val="22"/>
        </w:rPr>
      </w:pPr>
      <w:r w:rsidRPr="00F35382">
        <w:rPr>
          <w:rFonts w:ascii="Calibri" w:hAnsi="Calibri"/>
          <w:b/>
          <w:sz w:val="22"/>
          <w:szCs w:val="22"/>
        </w:rPr>
        <w:t xml:space="preserve">  - status of contribu</w:t>
      </w:r>
      <w:r>
        <w:rPr>
          <w:rFonts w:ascii="Calibri" w:hAnsi="Calibri"/>
          <w:b/>
          <w:sz w:val="22"/>
          <w:szCs w:val="22"/>
        </w:rPr>
        <w:t>tions to Argo data management (</w:t>
      </w:r>
      <w:r w:rsidRPr="00F35382">
        <w:rPr>
          <w:rFonts w:ascii="Calibri" w:hAnsi="Calibri"/>
          <w:b/>
          <w:sz w:val="22"/>
          <w:szCs w:val="22"/>
        </w:rPr>
        <w:t>i</w:t>
      </w:r>
      <w:r>
        <w:rPr>
          <w:rFonts w:ascii="Calibri" w:hAnsi="Calibri"/>
          <w:b/>
          <w:sz w:val="22"/>
          <w:szCs w:val="22"/>
        </w:rPr>
        <w:t xml:space="preserve">ncluding status of pressure </w:t>
      </w:r>
      <w:r w:rsidRPr="00F35382">
        <w:rPr>
          <w:rFonts w:ascii="Calibri" w:hAnsi="Calibri"/>
          <w:b/>
          <w:sz w:val="22"/>
          <w:szCs w:val="22"/>
        </w:rPr>
        <w:t>corrections, technical files, etc)</w:t>
      </w:r>
    </w:p>
    <w:p w:rsidR="0044427D" w:rsidRPr="00B76AB0" w:rsidRDefault="0044427D" w:rsidP="0044427D">
      <w:pPr>
        <w:pStyle w:val="Textebrut"/>
        <w:rPr>
          <w:rFonts w:asciiTheme="minorHAnsi" w:hAnsiTheme="minorHAnsi"/>
          <w:sz w:val="22"/>
          <w:szCs w:val="22"/>
        </w:rPr>
      </w:pPr>
      <w:r>
        <w:rPr>
          <w:rFonts w:asciiTheme="minorHAnsi" w:hAnsiTheme="minorHAnsi"/>
          <w:sz w:val="22"/>
          <w:szCs w:val="22"/>
        </w:rPr>
        <w:t>Carried out by BODC for us.</w:t>
      </w:r>
    </w:p>
    <w:p w:rsidR="0044427D" w:rsidRPr="00F35382" w:rsidRDefault="0044427D" w:rsidP="00C50079">
      <w:pPr>
        <w:pStyle w:val="Textebrut"/>
        <w:jc w:val="both"/>
        <w:rPr>
          <w:rFonts w:ascii="Calibri" w:hAnsi="Calibri"/>
          <w:b/>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 xml:space="preserve">  - status of delayed mode quality control process</w:t>
      </w:r>
    </w:p>
    <w:p w:rsidR="0044427D" w:rsidRPr="00B76AB0" w:rsidRDefault="0044427D" w:rsidP="0044427D">
      <w:pPr>
        <w:pStyle w:val="Textebrut"/>
        <w:rPr>
          <w:rFonts w:asciiTheme="minorHAnsi" w:hAnsiTheme="minorHAnsi"/>
          <w:sz w:val="22"/>
          <w:szCs w:val="22"/>
        </w:rPr>
      </w:pPr>
      <w:r>
        <w:rPr>
          <w:rFonts w:asciiTheme="minorHAnsi" w:hAnsiTheme="minorHAnsi"/>
          <w:sz w:val="22"/>
          <w:szCs w:val="22"/>
        </w:rPr>
        <w:t>Carried out by BODC for us.</w:t>
      </w:r>
    </w:p>
    <w:p w:rsidR="002E5816" w:rsidRPr="00F35382" w:rsidRDefault="002E5816" w:rsidP="00C50079">
      <w:pPr>
        <w:pStyle w:val="Textebrut"/>
        <w:jc w:val="both"/>
        <w:rPr>
          <w:rFonts w:ascii="Calibri" w:hAnsi="Calibri"/>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2.  Present level of and future prospects for national funding for Argo including a summary of the level of human resources devoted to Argo.</w:t>
      </w:r>
    </w:p>
    <w:p w:rsidR="002E5816" w:rsidRPr="00F35382" w:rsidRDefault="002E5816" w:rsidP="00C50079">
      <w:pPr>
        <w:pStyle w:val="Textebrut"/>
        <w:jc w:val="both"/>
        <w:rPr>
          <w:rFonts w:ascii="Calibri" w:hAnsi="Calibri"/>
          <w:sz w:val="22"/>
          <w:szCs w:val="22"/>
        </w:rPr>
      </w:pPr>
      <w:r>
        <w:rPr>
          <w:rFonts w:ascii="Calibri" w:hAnsi="Calibri"/>
          <w:sz w:val="22"/>
          <w:szCs w:val="22"/>
        </w:rPr>
        <w:t>Ireland is seeking observer membership of the Euro Argo ERIC (legal consortium) and has made a commitment to a contribution of €10k per annum to the central coordinating office. It is also our intention to continue to deploy three floats per annum, subject to funding availability.</w:t>
      </w:r>
    </w:p>
    <w:p w:rsidR="002E5816" w:rsidRPr="00F35382" w:rsidRDefault="002E5816" w:rsidP="00C50079">
      <w:pPr>
        <w:pStyle w:val="Textebrut"/>
        <w:jc w:val="both"/>
        <w:rPr>
          <w:rFonts w:ascii="Calibri" w:hAnsi="Calibri"/>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3.  Summary of deployment plans (level of commitment, areas of float Deployment, low or high resolution profiles</w:t>
      </w:r>
      <w:r>
        <w:rPr>
          <w:rFonts w:ascii="Calibri" w:hAnsi="Calibri"/>
          <w:b/>
          <w:sz w:val="22"/>
          <w:szCs w:val="22"/>
        </w:rPr>
        <w:t xml:space="preserve">) </w:t>
      </w:r>
      <w:r w:rsidRPr="00F35382">
        <w:rPr>
          <w:rFonts w:ascii="Calibri" w:hAnsi="Calibri"/>
          <w:b/>
          <w:sz w:val="22"/>
          <w:szCs w:val="22"/>
        </w:rPr>
        <w:t>and other commitments to Argo (data management) for the upcoming year and beyond where possible.</w:t>
      </w:r>
    </w:p>
    <w:p w:rsidR="002E5816" w:rsidRPr="00F35382" w:rsidRDefault="002E5816" w:rsidP="00C50079">
      <w:pPr>
        <w:pStyle w:val="Textebrut"/>
        <w:jc w:val="both"/>
        <w:rPr>
          <w:rFonts w:ascii="Calibri" w:hAnsi="Calibri"/>
          <w:sz w:val="22"/>
          <w:szCs w:val="22"/>
        </w:rPr>
      </w:pPr>
      <w:r>
        <w:rPr>
          <w:rFonts w:ascii="Calibri" w:hAnsi="Calibri"/>
          <w:sz w:val="22"/>
          <w:szCs w:val="22"/>
        </w:rPr>
        <w:t xml:space="preserve">Subject to funding availability, three floats will be procured and deployed per annum. They are typically deployed in the North Atlantic as this is the primary operational area of the national research vessel the R.V. </w:t>
      </w:r>
      <w:r w:rsidRPr="00FA6624">
        <w:rPr>
          <w:rFonts w:ascii="Calibri" w:hAnsi="Calibri"/>
          <w:i/>
          <w:sz w:val="22"/>
          <w:szCs w:val="22"/>
        </w:rPr>
        <w:t>Celtic Explorer</w:t>
      </w:r>
      <w:r>
        <w:rPr>
          <w:rFonts w:ascii="Calibri" w:hAnsi="Calibri"/>
          <w:sz w:val="22"/>
          <w:szCs w:val="22"/>
        </w:rPr>
        <w:t>.</w:t>
      </w:r>
    </w:p>
    <w:p w:rsidR="002E5816" w:rsidRPr="00F35382" w:rsidRDefault="002E5816" w:rsidP="00C50079">
      <w:pPr>
        <w:pStyle w:val="Textebrut"/>
        <w:jc w:val="both"/>
        <w:rPr>
          <w:rFonts w:ascii="Calibri" w:hAnsi="Calibri"/>
          <w:sz w:val="22"/>
          <w:szCs w:val="22"/>
        </w:rPr>
      </w:pPr>
    </w:p>
    <w:p w:rsidR="002E5816" w:rsidRPr="00C50079" w:rsidRDefault="002E5816" w:rsidP="00C50079">
      <w:pPr>
        <w:pStyle w:val="Textebrut"/>
        <w:jc w:val="both"/>
        <w:rPr>
          <w:rFonts w:ascii="Calibri" w:hAnsi="Calibri"/>
          <w:sz w:val="22"/>
          <w:szCs w:val="22"/>
        </w:rPr>
      </w:pPr>
      <w:r w:rsidRPr="00F35382">
        <w:rPr>
          <w:rFonts w:ascii="Calibri" w:hAnsi="Calibri"/>
          <w:b/>
          <w:sz w:val="22"/>
          <w:szCs w:val="22"/>
        </w:rPr>
        <w:t>4.  Summary of national research and operational uses of Argo data as well as contributions to Argo Regional Centers.  Please also include any links to national program Argo web pages to update lin</w:t>
      </w:r>
      <w:r>
        <w:rPr>
          <w:rFonts w:ascii="Calibri" w:hAnsi="Calibri"/>
          <w:b/>
          <w:sz w:val="22"/>
          <w:szCs w:val="22"/>
        </w:rPr>
        <w:t>ks on the AST and AIC websites.</w:t>
      </w:r>
    </w:p>
    <w:p w:rsidR="002E5816" w:rsidRDefault="002E5816" w:rsidP="00C50079">
      <w:pPr>
        <w:pStyle w:val="Textebrut"/>
        <w:jc w:val="both"/>
        <w:rPr>
          <w:rFonts w:ascii="Calibri" w:hAnsi="Calibri"/>
          <w:sz w:val="22"/>
          <w:szCs w:val="22"/>
        </w:rPr>
      </w:pPr>
      <w:r>
        <w:rPr>
          <w:rFonts w:ascii="Calibri" w:hAnsi="Calibri"/>
          <w:sz w:val="22"/>
          <w:szCs w:val="22"/>
        </w:rPr>
        <w:t>Argo data is p</w:t>
      </w:r>
      <w:r w:rsidRPr="00C50079">
        <w:rPr>
          <w:rFonts w:ascii="Calibri" w:hAnsi="Calibri"/>
          <w:sz w:val="22"/>
          <w:szCs w:val="22"/>
        </w:rPr>
        <w:t xml:space="preserve">rimarily used to </w:t>
      </w:r>
      <w:r>
        <w:rPr>
          <w:rFonts w:ascii="Calibri" w:hAnsi="Calibri"/>
          <w:sz w:val="22"/>
          <w:szCs w:val="22"/>
        </w:rPr>
        <w:t>validate ROMS models in the Oceanographic Services section of the Marine Institute.</w:t>
      </w:r>
    </w:p>
    <w:p w:rsidR="002E5816" w:rsidRDefault="00BA7648" w:rsidP="00C50079">
      <w:pPr>
        <w:pStyle w:val="Textebrut"/>
        <w:jc w:val="both"/>
        <w:rPr>
          <w:rFonts w:ascii="Calibri" w:hAnsi="Calibri"/>
          <w:sz w:val="22"/>
          <w:szCs w:val="22"/>
        </w:rPr>
      </w:pPr>
      <w:hyperlink r:id="rId5" w:history="1">
        <w:r w:rsidR="002E5816" w:rsidRPr="00614507">
          <w:rPr>
            <w:rStyle w:val="Lienhypertexte"/>
            <w:rFonts w:ascii="Calibri" w:hAnsi="Calibri"/>
            <w:sz w:val="22"/>
            <w:szCs w:val="22"/>
          </w:rPr>
          <w:t>http://www.marine.ie/home/services/operational/DeepSeaResearch/EuroArgo.htm</w:t>
        </w:r>
      </w:hyperlink>
    </w:p>
    <w:p w:rsidR="002E5816" w:rsidRPr="00F35382" w:rsidRDefault="002E5816" w:rsidP="00C50079">
      <w:pPr>
        <w:pStyle w:val="Textebrut"/>
        <w:jc w:val="both"/>
        <w:rPr>
          <w:rFonts w:ascii="Calibri" w:hAnsi="Calibri"/>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5.  Issues that your country wishes to be considered and resolved by the Argo Steering Team regarding the international operation of Argo.  These might include tasks performed by the AIC, the coordination of activities at an international level and the performance of the Argo data system. If you have specific comments, please include them in your national report.</w:t>
      </w:r>
    </w:p>
    <w:p w:rsidR="002E5816" w:rsidRPr="00F35382" w:rsidRDefault="002E5816" w:rsidP="00C50079">
      <w:pPr>
        <w:pStyle w:val="Textebrut"/>
        <w:jc w:val="both"/>
        <w:rPr>
          <w:rFonts w:ascii="Calibri" w:hAnsi="Calibri"/>
          <w:sz w:val="22"/>
          <w:szCs w:val="22"/>
        </w:rPr>
      </w:pPr>
      <w:r>
        <w:rPr>
          <w:rFonts w:ascii="Calibri" w:hAnsi="Calibri"/>
          <w:sz w:val="22"/>
          <w:szCs w:val="22"/>
        </w:rPr>
        <w:t>N/A as can be dealt with through Euro-Argo personnel.</w:t>
      </w:r>
    </w:p>
    <w:p w:rsidR="002E5816" w:rsidRPr="00F35382" w:rsidRDefault="002E5816" w:rsidP="00C50079">
      <w:pPr>
        <w:pStyle w:val="Textebrut"/>
        <w:jc w:val="both"/>
        <w:rPr>
          <w:rFonts w:ascii="Calibri" w:hAnsi="Calibri"/>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 xml:space="preserve">6.  To continue improving the number of CTD cruise data being added to the reference database by Argo PIs, it is requested that you include the number and location of CTD cruise data uploaded by PIs within your country to the </w:t>
      </w:r>
      <w:bookmarkStart w:id="1" w:name="OLE_LINK1"/>
      <w:r w:rsidRPr="00F35382">
        <w:rPr>
          <w:rFonts w:ascii="Calibri" w:hAnsi="Calibri"/>
          <w:b/>
          <w:sz w:val="22"/>
          <w:szCs w:val="22"/>
        </w:rPr>
        <w:t>CCHDO</w:t>
      </w:r>
      <w:bookmarkEnd w:id="1"/>
      <w:r w:rsidRPr="00F35382">
        <w:rPr>
          <w:rFonts w:ascii="Calibri" w:hAnsi="Calibri"/>
          <w:b/>
          <w:sz w:val="22"/>
          <w:szCs w:val="22"/>
        </w:rPr>
        <w:t xml:space="preserve"> website in the past year.  These cruises could be used for Argo calibration purposes only or could be cruises that are open to the public as well.</w:t>
      </w:r>
    </w:p>
    <w:p w:rsidR="002E5816" w:rsidRDefault="002E5816" w:rsidP="00C50079">
      <w:pPr>
        <w:pStyle w:val="Textebrut"/>
        <w:jc w:val="both"/>
        <w:rPr>
          <w:rFonts w:ascii="Calibri" w:hAnsi="Calibri"/>
          <w:sz w:val="22"/>
          <w:szCs w:val="22"/>
        </w:rPr>
      </w:pPr>
      <w:r w:rsidRPr="0044427D">
        <w:rPr>
          <w:rFonts w:asciiTheme="minorHAnsi" w:hAnsiTheme="minorHAnsi"/>
          <w:sz w:val="22"/>
          <w:szCs w:val="22"/>
        </w:rPr>
        <w:t>No CTD data are uploaded to the CCHDO web</w:t>
      </w:r>
      <w:r w:rsidR="0044427D" w:rsidRPr="0044427D">
        <w:rPr>
          <w:rFonts w:asciiTheme="minorHAnsi" w:hAnsiTheme="minorHAnsi"/>
          <w:sz w:val="22"/>
          <w:szCs w:val="22"/>
        </w:rPr>
        <w:t xml:space="preserve">site. However, all CTD data are emailed to </w:t>
      </w:r>
      <w:r w:rsidR="0044427D" w:rsidRPr="0044427D">
        <w:rPr>
          <w:rFonts w:asciiTheme="minorHAnsi" w:hAnsiTheme="minorHAnsi"/>
          <w:sz w:val="22"/>
          <w:szCs w:val="22"/>
          <w:lang w:val="en-US"/>
        </w:rPr>
        <w:t xml:space="preserve">Else </w:t>
      </w:r>
      <w:proofErr w:type="spellStart"/>
      <w:r w:rsidR="0044427D" w:rsidRPr="0044427D">
        <w:rPr>
          <w:rFonts w:asciiTheme="minorHAnsi" w:hAnsiTheme="minorHAnsi"/>
          <w:sz w:val="22"/>
          <w:szCs w:val="22"/>
          <w:lang w:val="en-US"/>
        </w:rPr>
        <w:t>Juul</w:t>
      </w:r>
      <w:proofErr w:type="spellEnd"/>
      <w:r w:rsidR="0044427D" w:rsidRPr="0044427D">
        <w:rPr>
          <w:rFonts w:asciiTheme="minorHAnsi" w:hAnsiTheme="minorHAnsi"/>
          <w:sz w:val="22"/>
          <w:szCs w:val="22"/>
          <w:lang w:val="en-US"/>
        </w:rPr>
        <w:t xml:space="preserve"> Green</w:t>
      </w:r>
      <w:r w:rsidR="0044427D" w:rsidRPr="0044427D">
        <w:rPr>
          <w:rFonts w:asciiTheme="minorHAnsi" w:hAnsiTheme="minorHAnsi"/>
          <w:color w:val="1F497D"/>
          <w:sz w:val="22"/>
          <w:szCs w:val="22"/>
          <w:lang w:val="en-US"/>
        </w:rPr>
        <w:t xml:space="preserve"> (</w:t>
      </w:r>
      <w:hyperlink r:id="rId6" w:history="1">
        <w:r w:rsidR="0044427D" w:rsidRPr="0044427D">
          <w:rPr>
            <w:rStyle w:val="Lienhypertexte"/>
            <w:rFonts w:asciiTheme="minorHAnsi" w:hAnsiTheme="minorHAnsi"/>
            <w:color w:val="1F497D"/>
            <w:sz w:val="22"/>
            <w:szCs w:val="22"/>
            <w:lang w:val="en-US"/>
          </w:rPr>
          <w:t>else@ices.dk</w:t>
        </w:r>
      </w:hyperlink>
      <w:r w:rsidR="0044427D" w:rsidRPr="0044427D">
        <w:rPr>
          <w:rFonts w:asciiTheme="minorHAnsi" w:hAnsiTheme="minorHAnsi"/>
          <w:color w:val="1F497D"/>
          <w:sz w:val="22"/>
          <w:szCs w:val="22"/>
          <w:lang w:val="en-US"/>
        </w:rPr>
        <w:t>)</w:t>
      </w:r>
      <w:r w:rsidR="0044427D" w:rsidRPr="0044427D">
        <w:rPr>
          <w:rFonts w:asciiTheme="minorHAnsi" w:hAnsiTheme="minorHAnsi"/>
          <w:sz w:val="22"/>
          <w:szCs w:val="22"/>
          <w:lang w:val="en-US"/>
        </w:rPr>
        <w:t xml:space="preserve"> who checks the data before it is </w:t>
      </w:r>
      <w:r w:rsidRPr="0044427D">
        <w:rPr>
          <w:rFonts w:ascii="Calibri" w:hAnsi="Calibri"/>
          <w:sz w:val="22"/>
          <w:szCs w:val="22"/>
        </w:rPr>
        <w:t>uploaded to the ICES Oceanographic data portal annually:</w:t>
      </w:r>
    </w:p>
    <w:p w:rsidR="002E5816" w:rsidRDefault="00BA7648" w:rsidP="00C50079">
      <w:pPr>
        <w:pStyle w:val="Textebrut"/>
        <w:jc w:val="both"/>
      </w:pPr>
      <w:hyperlink r:id="rId7" w:history="1">
        <w:r w:rsidR="002E5816" w:rsidRPr="00614507">
          <w:rPr>
            <w:rStyle w:val="Lienhypertexte"/>
            <w:rFonts w:ascii="Calibri" w:hAnsi="Calibri"/>
            <w:sz w:val="22"/>
            <w:szCs w:val="22"/>
          </w:rPr>
          <w:t>http://ocean.ices.dk/HydChem/HydChem.aspx?plot=yes</w:t>
        </w:r>
      </w:hyperlink>
    </w:p>
    <w:p w:rsidR="0057550E" w:rsidRDefault="0057550E" w:rsidP="00C50079">
      <w:pPr>
        <w:pStyle w:val="Textebrut"/>
        <w:jc w:val="both"/>
      </w:pPr>
    </w:p>
    <w:p w:rsidR="0057550E" w:rsidRDefault="0057550E" w:rsidP="00C50079">
      <w:pPr>
        <w:pStyle w:val="Textebrut"/>
        <w:jc w:val="both"/>
        <w:rPr>
          <w:rFonts w:ascii="Calibri" w:hAnsi="Calibri"/>
          <w:sz w:val="22"/>
          <w:szCs w:val="22"/>
        </w:rPr>
      </w:pPr>
      <w:r>
        <w:rPr>
          <w:noProof/>
          <w:lang w:val="fr-FR" w:eastAsia="fr-FR"/>
        </w:rPr>
        <w:drawing>
          <wp:inline distT="0" distB="0" distL="0" distR="0">
            <wp:extent cx="5731510" cy="413071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1510" cy="4130717"/>
                    </a:xfrm>
                    <a:prstGeom prst="rect">
                      <a:avLst/>
                    </a:prstGeom>
                    <a:noFill/>
                    <a:ln w="9525">
                      <a:noFill/>
                      <a:miter lim="800000"/>
                      <a:headEnd/>
                      <a:tailEnd/>
                    </a:ln>
                  </pic:spPr>
                </pic:pic>
              </a:graphicData>
            </a:graphic>
          </wp:inline>
        </w:drawing>
      </w:r>
    </w:p>
    <w:p w:rsidR="002E5816" w:rsidRPr="00F35382" w:rsidRDefault="002E5816" w:rsidP="00C50079">
      <w:pPr>
        <w:pStyle w:val="Textebrut"/>
        <w:jc w:val="both"/>
        <w:rPr>
          <w:rFonts w:ascii="Calibri" w:hAnsi="Calibri"/>
          <w:sz w:val="22"/>
          <w:szCs w:val="22"/>
        </w:rPr>
      </w:pPr>
    </w:p>
    <w:p w:rsidR="002E5816" w:rsidRPr="00F35382" w:rsidRDefault="002E5816" w:rsidP="00C50079">
      <w:pPr>
        <w:pStyle w:val="Textebrut"/>
        <w:jc w:val="both"/>
        <w:rPr>
          <w:rFonts w:ascii="Calibri" w:hAnsi="Calibri"/>
          <w:b/>
          <w:sz w:val="22"/>
          <w:szCs w:val="22"/>
        </w:rPr>
      </w:pPr>
      <w:r w:rsidRPr="00F35382">
        <w:rPr>
          <w:rFonts w:ascii="Calibri" w:hAnsi="Calibri"/>
          <w:b/>
          <w:sz w:val="22"/>
          <w:szCs w:val="22"/>
        </w:rPr>
        <w:t>7.  Keeping the Argo bibliography (</w:t>
      </w:r>
      <w:hyperlink r:id="rId9" w:history="1">
        <w:r w:rsidRPr="00F35382">
          <w:rPr>
            <w:rStyle w:val="Lienhypertexte"/>
            <w:rFonts w:ascii="Calibri" w:hAnsi="Calibri"/>
            <w:b/>
            <w:sz w:val="22"/>
            <w:szCs w:val="22"/>
          </w:rPr>
          <w:t>http://www.argo.ucsd.edu/Bibliography.html</w:t>
        </w:r>
      </w:hyperlink>
      <w:r w:rsidRPr="00F35382">
        <w:rPr>
          <w:rFonts w:ascii="Calibri" w:hAnsi="Calibri"/>
          <w:b/>
          <w:sz w:val="22"/>
          <w:szCs w:val="22"/>
        </w:rPr>
        <w:t>) up to date and accurate is an important part of the Argo website.  This document helps demonstrate the value of Argo and can possibly help countries when applying for continued Argo funding.  We are almost to 1000 papers published using Argo data!  So, please include a list of all papers published by scientists within your country in the past year using Argo data, including non-English publications.</w:t>
      </w:r>
    </w:p>
    <w:p w:rsidR="002E5816" w:rsidRDefault="002E5816" w:rsidP="00C50079">
      <w:pPr>
        <w:pStyle w:val="Textebrut"/>
        <w:jc w:val="both"/>
        <w:rPr>
          <w:rFonts w:ascii="Calibri" w:hAnsi="Calibri"/>
          <w:sz w:val="22"/>
          <w:szCs w:val="22"/>
        </w:rPr>
      </w:pPr>
      <w:r>
        <w:rPr>
          <w:rFonts w:ascii="Calibri" w:hAnsi="Calibri"/>
          <w:sz w:val="22"/>
          <w:szCs w:val="22"/>
        </w:rPr>
        <w:t>Unfortunately, none that I am aware of.</w:t>
      </w:r>
    </w:p>
    <w:p w:rsidR="002E5816" w:rsidRPr="00F35382" w:rsidRDefault="002E5816" w:rsidP="00C50079">
      <w:pPr>
        <w:pStyle w:val="Textebrut"/>
        <w:jc w:val="both"/>
        <w:rPr>
          <w:rFonts w:ascii="Calibri" w:hAnsi="Calibri"/>
          <w:sz w:val="22"/>
          <w:szCs w:val="22"/>
        </w:rPr>
      </w:pPr>
    </w:p>
    <w:p w:rsidR="002E5816" w:rsidRDefault="002E5816" w:rsidP="00C50079">
      <w:pPr>
        <w:pStyle w:val="Textebrut"/>
        <w:jc w:val="both"/>
        <w:rPr>
          <w:rFonts w:ascii="Calibri" w:hAnsi="Calibri"/>
          <w:sz w:val="22"/>
          <w:szCs w:val="22"/>
        </w:rPr>
      </w:pPr>
      <w:r w:rsidRPr="00F35382">
        <w:rPr>
          <w:rFonts w:ascii="Calibri" w:hAnsi="Calibri"/>
          <w:b/>
          <w:sz w:val="22"/>
          <w:szCs w:val="22"/>
        </w:rPr>
        <w:t>8.  I am also attaching a spreadsheet of the commitments table which I updated on January 18,2012 using the AIC website.  Wow - Argo deployed a lot of floats this year - 877!  I had to go back all the way to 2006 to find a year where more floats were deployed.  Good job getting many of the backlogged floats into the water.  Please correct any errors on float totals in the past year and send me an estimate of the expected number of deployments for 2012.</w:t>
      </w:r>
    </w:p>
    <w:p w:rsidR="002E5816" w:rsidRDefault="002E5816" w:rsidP="002F35FF">
      <w:pPr>
        <w:pStyle w:val="Textebrut"/>
        <w:rPr>
          <w:rFonts w:ascii="Calibri" w:hAnsi="Calibri"/>
          <w:sz w:val="22"/>
          <w:szCs w:val="22"/>
        </w:rPr>
      </w:pPr>
      <w:r>
        <w:rPr>
          <w:rFonts w:ascii="Calibri" w:hAnsi="Calibri"/>
          <w:sz w:val="22"/>
          <w:szCs w:val="22"/>
        </w:rPr>
        <w:t>Ireland will deploy three Provor floats in the North Atlantic in summer 2012.</w:t>
      </w:r>
    </w:p>
    <w:p w:rsidR="002E5816" w:rsidRDefault="002E5816" w:rsidP="002F35FF">
      <w:pPr>
        <w:pStyle w:val="Textebrut"/>
        <w:rPr>
          <w:rFonts w:ascii="Calibri" w:hAnsi="Calibri"/>
          <w:sz w:val="22"/>
          <w:szCs w:val="22"/>
        </w:rPr>
      </w:pPr>
    </w:p>
    <w:p w:rsidR="002E5816" w:rsidRPr="00ED5136" w:rsidRDefault="002E5816" w:rsidP="002F35FF">
      <w:pPr>
        <w:pStyle w:val="Textebrut"/>
        <w:rPr>
          <w:rFonts w:ascii="Calibri" w:hAnsi="Calibri"/>
          <w:sz w:val="22"/>
          <w:szCs w:val="22"/>
        </w:rPr>
      </w:pPr>
    </w:p>
    <w:sectPr w:rsidR="002E5816" w:rsidRPr="00ED5136" w:rsidSect="002D4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FF"/>
    <w:rsid w:val="000D566B"/>
    <w:rsid w:val="00161D94"/>
    <w:rsid w:val="001E0CC4"/>
    <w:rsid w:val="002D4D21"/>
    <w:rsid w:val="002E5816"/>
    <w:rsid w:val="002F20CC"/>
    <w:rsid w:val="002F35FF"/>
    <w:rsid w:val="003B0451"/>
    <w:rsid w:val="003F01E4"/>
    <w:rsid w:val="0044427D"/>
    <w:rsid w:val="0057550E"/>
    <w:rsid w:val="00614507"/>
    <w:rsid w:val="0078626E"/>
    <w:rsid w:val="00817588"/>
    <w:rsid w:val="00820BF5"/>
    <w:rsid w:val="00995EA5"/>
    <w:rsid w:val="009D6C49"/>
    <w:rsid w:val="00A571F0"/>
    <w:rsid w:val="00B853DC"/>
    <w:rsid w:val="00BA7648"/>
    <w:rsid w:val="00BB02A6"/>
    <w:rsid w:val="00C465D8"/>
    <w:rsid w:val="00C50079"/>
    <w:rsid w:val="00ED5136"/>
    <w:rsid w:val="00EF2867"/>
    <w:rsid w:val="00F13ABF"/>
    <w:rsid w:val="00F35382"/>
    <w:rsid w:val="00FA662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2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F35FF"/>
    <w:rPr>
      <w:rFonts w:cs="Times New Roman"/>
      <w:color w:val="0000FF"/>
      <w:u w:val="single"/>
    </w:rPr>
  </w:style>
  <w:style w:type="paragraph" w:styleId="Textebrut">
    <w:name w:val="Plain Text"/>
    <w:basedOn w:val="Normal"/>
    <w:link w:val="TextebrutCar"/>
    <w:uiPriority w:val="99"/>
    <w:rsid w:val="002F35F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2F35FF"/>
    <w:rPr>
      <w:rFonts w:ascii="Consolas" w:hAnsi="Consolas" w:cs="Times New Roman"/>
      <w:sz w:val="21"/>
      <w:szCs w:val="21"/>
    </w:rPr>
  </w:style>
  <w:style w:type="character" w:styleId="Lienhypertextesuivi">
    <w:name w:val="FollowedHyperlink"/>
    <w:basedOn w:val="Policepardfaut"/>
    <w:uiPriority w:val="99"/>
    <w:semiHidden/>
    <w:unhideWhenUsed/>
    <w:rsid w:val="0044427D"/>
    <w:rPr>
      <w:color w:val="800080" w:themeColor="followedHyperlink"/>
      <w:u w:val="single"/>
    </w:rPr>
  </w:style>
  <w:style w:type="table" w:styleId="Grille">
    <w:name w:val="Table Grid"/>
    <w:basedOn w:val="TableauNormal"/>
    <w:uiPriority w:val="59"/>
    <w:locked/>
    <w:rsid w:val="0044427D"/>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7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550E"/>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21"/>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F35FF"/>
    <w:rPr>
      <w:rFonts w:cs="Times New Roman"/>
      <w:color w:val="0000FF"/>
      <w:u w:val="single"/>
    </w:rPr>
  </w:style>
  <w:style w:type="paragraph" w:styleId="Textebrut">
    <w:name w:val="Plain Text"/>
    <w:basedOn w:val="Normal"/>
    <w:link w:val="TextebrutCar"/>
    <w:uiPriority w:val="99"/>
    <w:rsid w:val="002F35FF"/>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2F35FF"/>
    <w:rPr>
      <w:rFonts w:ascii="Consolas" w:hAnsi="Consolas" w:cs="Times New Roman"/>
      <w:sz w:val="21"/>
      <w:szCs w:val="21"/>
    </w:rPr>
  </w:style>
  <w:style w:type="character" w:styleId="Lienhypertextesuivi">
    <w:name w:val="FollowedHyperlink"/>
    <w:basedOn w:val="Policepardfaut"/>
    <w:uiPriority w:val="99"/>
    <w:semiHidden/>
    <w:unhideWhenUsed/>
    <w:rsid w:val="0044427D"/>
    <w:rPr>
      <w:color w:val="800080" w:themeColor="followedHyperlink"/>
      <w:u w:val="single"/>
    </w:rPr>
  </w:style>
  <w:style w:type="table" w:styleId="Grille">
    <w:name w:val="Table Grid"/>
    <w:basedOn w:val="TableauNormal"/>
    <w:uiPriority w:val="59"/>
    <w:locked/>
    <w:rsid w:val="0044427D"/>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7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55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790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hyperlink" Target="http://www.marine.ie/home/services/operational/DeepSeaResearch/EuroArgo.htm" TargetMode="External"/><Relationship Id="rId7" Type="http://schemas.openxmlformats.org/officeDocument/2006/relationships/hyperlink" Target="http://ocean.ices.dk/HydChem/HydChem.aspx?plot=yes" TargetMode="Externa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hyperlink" Target="http://www.argo.ucsd.edu/Bibliography.html" TargetMode="External"/><Relationship Id="rId3" Type="http://schemas.openxmlformats.org/officeDocument/2006/relationships/settings" Target="settings.xml"/><Relationship Id="rId6" Type="http://schemas.openxmlformats.org/officeDocument/2006/relationships/hyperlink" Target="mailto:else@ice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3630</Characters>
  <Application>Microsoft Macintosh Word</Application>
  <DocSecurity>0</DocSecurity>
  <Lines>30</Lines>
  <Paragraphs>8</Paragraphs>
  <ScaleCrop>false</ScaleCrop>
  <Company>MI</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fgrant</dc:creator>
  <cp:keywords/>
  <dc:description/>
  <cp:lastModifiedBy>saout carole</cp:lastModifiedBy>
  <cp:revision>2</cp:revision>
  <dcterms:created xsi:type="dcterms:W3CDTF">2012-03-02T08:52:00Z</dcterms:created>
  <dcterms:modified xsi:type="dcterms:W3CDTF">2012-03-02T08:52:00Z</dcterms:modified>
</cp:coreProperties>
</file>